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2FA1E0F3"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094568">
        <w:rPr>
          <w:bCs/>
          <w:noProof w:val="0"/>
          <w:sz w:val="24"/>
          <w:szCs w:val="24"/>
        </w:rPr>
        <w:t>6</w:t>
      </w:r>
      <w:r w:rsidRPr="00B266B0">
        <w:rPr>
          <w:bCs/>
          <w:noProof w:val="0"/>
          <w:sz w:val="24"/>
          <w:szCs w:val="24"/>
        </w:rPr>
        <w:tab/>
      </w:r>
      <w:r w:rsidR="002E7848" w:rsidRPr="002E7848">
        <w:rPr>
          <w:bCs/>
          <w:noProof w:val="0"/>
          <w:sz w:val="24"/>
          <w:szCs w:val="24"/>
        </w:rPr>
        <w:t>R2-1909014</w:t>
      </w:r>
    </w:p>
    <w:p w14:paraId="11776FA6" w14:textId="43A73A2C" w:rsidR="00A209D6" w:rsidRPr="00465587" w:rsidRDefault="00F036E9" w:rsidP="00A209D6">
      <w:pPr>
        <w:pStyle w:val="Header"/>
        <w:tabs>
          <w:tab w:val="right" w:pos="9639"/>
        </w:tabs>
        <w:rPr>
          <w:rFonts w:eastAsia="SimSun"/>
          <w:bCs/>
          <w:sz w:val="24"/>
          <w:szCs w:val="24"/>
          <w:lang w:eastAsia="zh-CN"/>
        </w:rPr>
      </w:pPr>
      <w:r w:rsidRPr="00F036E9">
        <w:rPr>
          <w:rFonts w:eastAsia="SimSun"/>
          <w:bCs/>
          <w:sz w:val="24"/>
          <w:szCs w:val="24"/>
          <w:lang w:eastAsia="zh-CN"/>
        </w:rPr>
        <w:t xml:space="preserve">Prague, </w:t>
      </w:r>
      <w:bookmarkStart w:id="0" w:name="_GoBack"/>
      <w:bookmarkEnd w:id="0"/>
      <w:r w:rsidRPr="00F036E9">
        <w:rPr>
          <w:rFonts w:eastAsia="SimSun"/>
          <w:bCs/>
          <w:sz w:val="24"/>
          <w:szCs w:val="24"/>
          <w:lang w:eastAsia="zh-CN"/>
        </w:rPr>
        <w:t>Czech Republic, 26 – 30 August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5C176026"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D2AE2">
        <w:rPr>
          <w:rFonts w:cs="Arial"/>
          <w:b/>
          <w:bCs/>
          <w:sz w:val="24"/>
          <w:lang w:eastAsia="ja-JP"/>
        </w:rPr>
        <w:t>11.16</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0E14458C"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D2AE2">
        <w:rPr>
          <w:rFonts w:ascii="Arial" w:hAnsi="Arial" w:cs="Arial"/>
          <w:b/>
          <w:bCs/>
          <w:sz w:val="24"/>
        </w:rPr>
        <w:t>Support of multiple LTE CRS rate matching patterns</w:t>
      </w:r>
    </w:p>
    <w:p w14:paraId="1F147C23" w14:textId="6EA865F4"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8D2AE2">
        <w:rPr>
          <w:rFonts w:ascii="Arial" w:hAnsi="Arial" w:cs="Arial"/>
          <w:b/>
          <w:bCs/>
          <w:sz w:val="24"/>
        </w:rPr>
        <w:t>TEI16</w:t>
      </w:r>
      <w:r w:rsidRPr="00112F1A">
        <w:rPr>
          <w:rFonts w:ascii="Arial" w:hAnsi="Arial" w:cs="Arial"/>
          <w:b/>
          <w:bCs/>
          <w:sz w:val="24"/>
        </w:rPr>
        <w:t xml:space="preserve"> </w:t>
      </w:r>
      <w:r>
        <w:rPr>
          <w:rFonts w:ascii="Arial" w:hAnsi="Arial" w:cs="Arial"/>
          <w:b/>
          <w:bCs/>
          <w:sz w:val="24"/>
        </w:rPr>
        <w:t xml:space="preserve">- Release </w:t>
      </w:r>
      <w:r w:rsidR="008D2AE2">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4874A8A" w14:textId="739EE7F1" w:rsidR="008D2AE2" w:rsidRDefault="008D2AE2" w:rsidP="00A209D6">
      <w:r>
        <w:t xml:space="preserve">As per RAN#84 decisions in </w:t>
      </w:r>
      <w:hyperlink r:id="rId12" w:history="1">
        <w:r w:rsidRPr="008D2AE2">
          <w:rPr>
            <w:rStyle w:val="Hyperlink"/>
            <w:lang w:val="en-US"/>
          </w:rPr>
          <w:t>RP-191599</w:t>
        </w:r>
      </w:hyperlink>
      <w:r>
        <w:t>, the following objectives were decided to be done under NR TEI16:</w:t>
      </w:r>
    </w:p>
    <w:p w14:paraId="3C46BD0C" w14:textId="77777777" w:rsidR="00F40BC7" w:rsidRPr="008D2AE2" w:rsidRDefault="00F427A5" w:rsidP="008D2AE2">
      <w:pPr>
        <w:numPr>
          <w:ilvl w:val="0"/>
          <w:numId w:val="9"/>
        </w:numPr>
        <w:rPr>
          <w:i/>
        </w:rPr>
      </w:pPr>
      <w:r w:rsidRPr="008D2AE2">
        <w:rPr>
          <w:i/>
          <w:lang w:val="sv-SE"/>
        </w:rPr>
        <w:t>The following enhancements for dynamic spectrum sharing will be done as part of TEI16 in RAN1</w:t>
      </w:r>
    </w:p>
    <w:p w14:paraId="00CF3EB8" w14:textId="77777777" w:rsidR="00F40BC7" w:rsidRPr="008D2AE2" w:rsidRDefault="00F427A5" w:rsidP="008D2AE2">
      <w:pPr>
        <w:numPr>
          <w:ilvl w:val="1"/>
          <w:numId w:val="9"/>
        </w:numPr>
        <w:rPr>
          <w:i/>
        </w:rPr>
      </w:pPr>
      <w:r w:rsidRPr="008D2AE2">
        <w:rPr>
          <w:i/>
          <w:lang w:val="en-US"/>
        </w:rPr>
        <w:t>Introduce PDSCH Type B mapping of length 9 and 10 OFDM symbols where the positions of DMRS are defined or can be configured so they do not collide with symbols containing LTE CRS</w:t>
      </w:r>
    </w:p>
    <w:p w14:paraId="29A5C5A7" w14:textId="77777777" w:rsidR="00F40BC7" w:rsidRPr="008D2AE2" w:rsidRDefault="00F427A5" w:rsidP="008D2AE2">
      <w:pPr>
        <w:numPr>
          <w:ilvl w:val="1"/>
          <w:numId w:val="9"/>
        </w:numPr>
        <w:rPr>
          <w:i/>
        </w:rPr>
      </w:pPr>
      <w:r w:rsidRPr="008D2AE2">
        <w:rPr>
          <w:i/>
          <w:lang w:val="en-US"/>
        </w:rPr>
        <w:t>Extend the higher layer configuration of LTE-CRS rate matching pattern to multiple rate matching patterns to support multiple LTE carriers within an NR carrier</w:t>
      </w:r>
    </w:p>
    <w:p w14:paraId="579C62F9" w14:textId="77777777" w:rsidR="00F40BC7" w:rsidRPr="008D2AE2" w:rsidRDefault="00F427A5" w:rsidP="008D2AE2">
      <w:pPr>
        <w:numPr>
          <w:ilvl w:val="2"/>
          <w:numId w:val="9"/>
        </w:numPr>
        <w:rPr>
          <w:i/>
        </w:rPr>
      </w:pPr>
      <w:r w:rsidRPr="008D2AE2">
        <w:rPr>
          <w:i/>
          <w:lang w:val="sv-SE"/>
        </w:rPr>
        <w:t xml:space="preserve">RAN1 will decide on </w:t>
      </w:r>
      <w:r w:rsidRPr="008D2AE2">
        <w:rPr>
          <w:i/>
          <w:lang w:val="en-US"/>
        </w:rPr>
        <w:t xml:space="preserve">a reasonable limit for the </w:t>
      </w:r>
      <w:r w:rsidRPr="008D2AE2">
        <w:rPr>
          <w:i/>
          <w:lang w:val="sv-SE"/>
        </w:rPr>
        <w:t>number of rate matching patterns to be supported</w:t>
      </w:r>
    </w:p>
    <w:p w14:paraId="258DBE7E" w14:textId="77777777" w:rsidR="00F40BC7" w:rsidRPr="008D2AE2" w:rsidRDefault="00F427A5" w:rsidP="008D2AE2">
      <w:pPr>
        <w:numPr>
          <w:ilvl w:val="2"/>
          <w:numId w:val="9"/>
        </w:numPr>
        <w:rPr>
          <w:i/>
        </w:rPr>
      </w:pPr>
      <w:r w:rsidRPr="008D2AE2">
        <w:rPr>
          <w:i/>
          <w:lang w:val="sv-SE"/>
        </w:rPr>
        <w:t xml:space="preserve">The </w:t>
      </w:r>
      <w:r w:rsidRPr="008D2AE2">
        <w:rPr>
          <w:i/>
          <w:lang w:val="en-US"/>
        </w:rPr>
        <w:t>LTE-CRS rate matching patterns are applicable to 15 kHz SCS</w:t>
      </w:r>
    </w:p>
    <w:p w14:paraId="49D1A344" w14:textId="77777777" w:rsidR="00F40BC7" w:rsidRPr="008D2AE2" w:rsidRDefault="00F427A5" w:rsidP="008D2AE2">
      <w:pPr>
        <w:numPr>
          <w:ilvl w:val="2"/>
          <w:numId w:val="9"/>
        </w:numPr>
        <w:rPr>
          <w:i/>
        </w:rPr>
      </w:pPr>
      <w:r w:rsidRPr="008D2AE2">
        <w:rPr>
          <w:i/>
          <w:lang w:val="sv-SE"/>
        </w:rPr>
        <w:t>Signaling to be defined by RAN2</w:t>
      </w:r>
    </w:p>
    <w:p w14:paraId="3BA1DC92" w14:textId="77777777" w:rsidR="008D2AE2" w:rsidRPr="008D2AE2" w:rsidRDefault="00F427A5" w:rsidP="008D2AE2">
      <w:pPr>
        <w:numPr>
          <w:ilvl w:val="2"/>
          <w:numId w:val="9"/>
        </w:numPr>
        <w:rPr>
          <w:i/>
        </w:rPr>
      </w:pPr>
      <w:r w:rsidRPr="008D2AE2">
        <w:rPr>
          <w:i/>
          <w:lang w:val="sv-SE"/>
        </w:rPr>
        <w:t>The work will take place and be completed in Q3</w:t>
      </w:r>
    </w:p>
    <w:p w14:paraId="6C4D0E53" w14:textId="4B97932C" w:rsidR="008D2AE2" w:rsidRPr="008D2AE2" w:rsidRDefault="008D2AE2" w:rsidP="008D2AE2">
      <w:pPr>
        <w:numPr>
          <w:ilvl w:val="0"/>
          <w:numId w:val="9"/>
        </w:numPr>
        <w:rPr>
          <w:i/>
        </w:rPr>
      </w:pPr>
      <w:r w:rsidRPr="008D2AE2">
        <w:rPr>
          <w:i/>
          <w:lang w:val="sv-SE"/>
        </w:rPr>
        <w:t>CRs will be prepared once Rel-16 specifications will be available</w:t>
      </w:r>
    </w:p>
    <w:p w14:paraId="10F5D96D" w14:textId="67C9FDE9" w:rsidR="008D2AE2" w:rsidRDefault="008D2AE2" w:rsidP="008D2AE2">
      <w:r>
        <w:t xml:space="preserve">In this contribution, we discuss </w:t>
      </w:r>
      <w:r w:rsidR="00074025">
        <w:t xml:space="preserve">(only) </w:t>
      </w:r>
      <w:r>
        <w:t xml:space="preserve">the </w:t>
      </w:r>
      <w:r w:rsidR="006C2F4A">
        <w:t>RAN2-</w:t>
      </w:r>
      <w:r>
        <w:t xml:space="preserve">specifics of the </w:t>
      </w:r>
      <w:r w:rsidR="006C2F4A">
        <w:t xml:space="preserve">second topic, </w:t>
      </w:r>
      <w:r w:rsidR="00074025">
        <w:t xml:space="preserve">i.e. the introduction of </w:t>
      </w:r>
      <w:r>
        <w:t>multiple LTE CRS rate matching patterns</w:t>
      </w:r>
      <w:r w:rsidR="006C2F4A">
        <w:t xml:space="preserve"> (</w:t>
      </w:r>
      <w:r w:rsidR="00074025">
        <w:t xml:space="preserve">and </w:t>
      </w:r>
      <w:r w:rsidR="006C2F4A">
        <w:t>not the PDSCH type B mapping)</w:t>
      </w:r>
      <w:r>
        <w:t>.</w:t>
      </w:r>
    </w:p>
    <w:p w14:paraId="2BBFF540" w14:textId="2588D0BF" w:rsidR="00A209D6" w:rsidRPr="006E13D1" w:rsidRDefault="00A209D6" w:rsidP="00A209D6">
      <w:pPr>
        <w:pStyle w:val="Heading1"/>
      </w:pPr>
      <w:r w:rsidRPr="006E13D1">
        <w:t>2</w:t>
      </w:r>
      <w:r w:rsidRPr="006E13D1">
        <w:tab/>
      </w:r>
      <w:r w:rsidR="008D2AE2">
        <w:t>Introduction of multiple rate matching patterns</w:t>
      </w:r>
    </w:p>
    <w:p w14:paraId="15F0DE20" w14:textId="09ED84C3" w:rsidR="008D2AE2" w:rsidRDefault="008D2AE2" w:rsidP="00A209D6">
      <w:r>
        <w:t xml:space="preserve">Currently the LTE CRS rate matching patterns are defined in </w:t>
      </w:r>
      <w:r w:rsidR="00E4100C">
        <w:t xml:space="preserve">the IEs </w:t>
      </w:r>
      <w:r>
        <w:t xml:space="preserve">ServingCellConfigCommon </w:t>
      </w:r>
      <w:r w:rsidR="0042420D">
        <w:t xml:space="preserve">(for EN-DC) </w:t>
      </w:r>
      <w:r>
        <w:t>and ServingCellConfig</w:t>
      </w:r>
      <w:r w:rsidR="0042420D">
        <w:t xml:space="preserve"> (for </w:t>
      </w:r>
      <w:r w:rsidR="00E4100C">
        <w:t xml:space="preserve">NR </w:t>
      </w:r>
      <w:r w:rsidR="0042420D">
        <w:t xml:space="preserve">SA). Notably, </w:t>
      </w:r>
      <w:r w:rsidR="00E4100C">
        <w:t>the LTE CRS rate matching patterns are NOT defined in the IE ServingCellConfigCommonSIB (i.e. SIB1-broadcast information): This was actually proposed in RAN2#</w:t>
      </w:r>
      <w:r w:rsidR="006C2F4A">
        <w:t>103bis and RAN2#</w:t>
      </w:r>
      <w:r w:rsidR="00E4100C">
        <w:t>10</w:t>
      </w:r>
      <w:r w:rsidR="006C2F4A">
        <w:t xml:space="preserve">4 (see e.g. </w:t>
      </w:r>
      <w:hyperlink r:id="rId13" w:history="1">
        <w:r w:rsidR="006C2F4A">
          <w:rPr>
            <w:rStyle w:val="Hyperlink"/>
          </w:rPr>
          <w:t>R2-1816851</w:t>
        </w:r>
      </w:hyperlink>
      <w:r w:rsidR="006C2F4A">
        <w:t xml:space="preserve">), </w:t>
      </w:r>
      <w:r w:rsidR="00E4100C">
        <w:t xml:space="preserve"> but eventually not agreed as it was a late correction to the specifications</w:t>
      </w:r>
      <w:r w:rsidR="006C2F4A">
        <w:t xml:space="preserve"> (as per outcome of </w:t>
      </w:r>
      <w:hyperlink r:id="rId14" w:history="1">
        <w:r w:rsidR="006C2F4A">
          <w:rPr>
            <w:rStyle w:val="Hyperlink"/>
          </w:rPr>
          <w:t>R2-1819046</w:t>
        </w:r>
      </w:hyperlink>
      <w:r w:rsidR="006C2F4A">
        <w:t>), the problem was acknowledged but it was considered that there are ways to handle it)</w:t>
      </w:r>
      <w:r w:rsidR="00E4100C">
        <w:t>.</w:t>
      </w:r>
    </w:p>
    <w:p w14:paraId="4E649E8E" w14:textId="6665DE9E" w:rsidR="00E4100C" w:rsidRDefault="00E4100C" w:rsidP="00A209D6">
      <w:r w:rsidRPr="00E4100C">
        <w:rPr>
          <w:b/>
        </w:rPr>
        <w:t>Observation 1:</w:t>
      </w:r>
      <w:r>
        <w:t xml:space="preserve"> LTE CRS rate matching patterns can only be provided in RRC_CONNECTED.</w:t>
      </w:r>
    </w:p>
    <w:p w14:paraId="5CAFEDE5" w14:textId="07767AC6" w:rsidR="00DA2C05" w:rsidRDefault="00E4100C" w:rsidP="00A209D6">
      <w:r>
        <w:t>This simplifies some things as we don’t have to consider IDLE mode procedures and as long as CORESET#0 reception works, there should be no issues with DL reception over shared LTE-NR carriers.</w:t>
      </w:r>
      <w:r w:rsidR="00DA2C05">
        <w:t xml:space="preserve"> Therefore, the next question is whether the existing LTE CRS rate matching patterns should be reused when multiple patterns are indicated or whether the new patterns would override it completely. However, such a question is mostly more of a philosophical nature: Reusing the LTE pattern can (in theory) allow one additional rate matching pattern to be used in ASN.1, while not reusing would allow to define slightly different UE behaviour when multiple patterns are configured. Given that the justification for the multiple patterns is to follow the exact same behaviour as for one pattern, we see no real reason to go for the latter option and propose just to define extra LTE CRS rate matching patterns in the extended RRC signalling. This doesn’t cost any extra bits from RAN2 perspective, and it only remains to be checked that the RAN1 specifications will be aligned with the RAN2 approach.</w:t>
      </w:r>
    </w:p>
    <w:p w14:paraId="6750BEE4" w14:textId="6BD498BE" w:rsidR="00DA2C05" w:rsidRDefault="00DA2C05" w:rsidP="00A209D6">
      <w:r>
        <w:lastRenderedPageBreak/>
        <w:t xml:space="preserve">Additionally, one needs to decide how many additional rate matching patterns are defined. As per </w:t>
      </w:r>
      <w:hyperlink r:id="rId15" w:history="1">
        <w:r w:rsidRPr="008D2AE2">
          <w:rPr>
            <w:rStyle w:val="Hyperlink"/>
            <w:lang w:val="en-US"/>
          </w:rPr>
          <w:t>RP-191599</w:t>
        </w:r>
      </w:hyperlink>
      <w:r>
        <w:t>, this will decided by RAN1 and can be handled when the CRs are brought to RAN for approval for the first time – in RAN2 it will only be visible via RRC constant.</w:t>
      </w:r>
      <w:r w:rsidR="00D44F9F">
        <w:t xml:space="preserve"> Therefore, since the CRs will anyway only be agreed for Rel-16, RAN2 can use an appropriately large placeholder value (e.g. 8) in the CR until RAN1 informs RAN2 of the correct value.</w:t>
      </w:r>
    </w:p>
    <w:p w14:paraId="7F22FE16" w14:textId="7FA3248A" w:rsidR="00DA2C05" w:rsidRDefault="00DA2C05" w:rsidP="00A209D6">
      <w:r w:rsidRPr="00DA2C05">
        <w:rPr>
          <w:b/>
        </w:rPr>
        <w:t>Proposal 1:</w:t>
      </w:r>
      <w:r>
        <w:t xml:space="preserve"> Introduce </w:t>
      </w:r>
      <w:r w:rsidRPr="004E03F6">
        <w:rPr>
          <w:b/>
        </w:rPr>
        <w:t>N</w:t>
      </w:r>
      <w:r>
        <w:t xml:space="preserve"> additional LTE CRS rate matching patterns in extensions to </w:t>
      </w:r>
      <w:r w:rsidRPr="00283513">
        <w:rPr>
          <w:i/>
        </w:rPr>
        <w:t>ServingCellConfig</w:t>
      </w:r>
      <w:r>
        <w:t xml:space="preserve"> and </w:t>
      </w:r>
      <w:r w:rsidRPr="00283513">
        <w:rPr>
          <w:i/>
        </w:rPr>
        <w:t>ServingCellConfigCommon</w:t>
      </w:r>
      <w:r w:rsidR="00283513">
        <w:t>.</w:t>
      </w:r>
    </w:p>
    <w:p w14:paraId="3BB74707" w14:textId="7EAA2092" w:rsidR="004E03F6" w:rsidRDefault="004E03F6" w:rsidP="004E03F6">
      <w:r w:rsidRPr="00DA2C05">
        <w:rPr>
          <w:b/>
        </w:rPr>
        <w:t>Proposal 2:</w:t>
      </w:r>
      <w:r>
        <w:t xml:space="preserve"> Use </w:t>
      </w:r>
      <w:r w:rsidRPr="004E03F6">
        <w:rPr>
          <w:b/>
        </w:rPr>
        <w:t>N</w:t>
      </w:r>
      <w:r>
        <w:t>=</w:t>
      </w:r>
      <w:r w:rsidR="00D44F9F">
        <w:t>8</w:t>
      </w:r>
      <w:r>
        <w:t xml:space="preserve"> as placeholder in RAN2 CR until RAN1 provides the correct value for </w:t>
      </w:r>
      <w:r w:rsidRPr="003E49EC">
        <w:rPr>
          <w:b/>
        </w:rPr>
        <w:t>N</w:t>
      </w:r>
      <w:r>
        <w:t>.</w:t>
      </w:r>
    </w:p>
    <w:p w14:paraId="402344C9" w14:textId="56B3F4BA" w:rsidR="00DA2C05" w:rsidRDefault="00DA2C05" w:rsidP="00A209D6">
      <w:r>
        <w:t>Finally, this feature requires the use of UE capability since it is only used in RRC_CONNECTED and not all UEs will support it (e.g. all Rel-15 UEs cannot be expected to support the feature). Therefore, an additional capability needs to be added to TS38.331 and TS38.306. We propose to have this as a per-UE capability.</w:t>
      </w:r>
    </w:p>
    <w:p w14:paraId="50C070E4" w14:textId="66230AE1" w:rsidR="00DA2C05" w:rsidRDefault="00DA2C05" w:rsidP="00A209D6">
      <w:r w:rsidRPr="00DA2C05">
        <w:rPr>
          <w:b/>
        </w:rPr>
        <w:t>Proposal 3:</w:t>
      </w:r>
      <w:r>
        <w:t xml:space="preserve"> Introduce a per-UE capability for supporting multiple LTE CRS rate matching patterns via RRC configuration.</w:t>
      </w:r>
    </w:p>
    <w:p w14:paraId="6613A057" w14:textId="35AE0A6F" w:rsidR="00DA2C05" w:rsidRDefault="00DA2C05" w:rsidP="00A209D6">
      <w:r>
        <w:t>Finally, the CRs</w:t>
      </w:r>
      <w:r w:rsidR="00197420">
        <w:t xml:space="preserve"> according to these proposals</w:t>
      </w:r>
      <w:r>
        <w:t xml:space="preserve"> are provided in </w:t>
      </w:r>
      <w:hyperlink r:id="rId16" w:history="1">
        <w:r w:rsidR="002E7848">
          <w:rPr>
            <w:rStyle w:val="Hyperlink"/>
          </w:rPr>
          <w:t>R2-1909015</w:t>
        </w:r>
      </w:hyperlink>
      <w:r w:rsidR="002E7848" w:rsidRPr="002E7848">
        <w:t xml:space="preserve"> </w:t>
      </w:r>
      <w:r>
        <w:t xml:space="preserve">(38.306) and </w:t>
      </w:r>
      <w:hyperlink r:id="rId17" w:history="1">
        <w:r w:rsidR="002E7848" w:rsidRPr="002E7848">
          <w:rPr>
            <w:rStyle w:val="Hyperlink"/>
          </w:rPr>
          <w:t>R2-1909016</w:t>
        </w:r>
      </w:hyperlink>
      <w:r>
        <w:t xml:space="preserve"> (38.331).</w:t>
      </w:r>
    </w:p>
    <w:p w14:paraId="5FF2457F" w14:textId="3BEAC9DB" w:rsidR="00A209D6" w:rsidRPr="006E13D1" w:rsidRDefault="008D2AE2" w:rsidP="00A209D6">
      <w:pPr>
        <w:pStyle w:val="Heading1"/>
      </w:pPr>
      <w:r>
        <w:t>3</w:t>
      </w:r>
      <w:r w:rsidR="00A209D6" w:rsidRPr="006E13D1">
        <w:tab/>
      </w:r>
      <w:r w:rsidR="008C3057">
        <w:t>Conclusion</w:t>
      </w:r>
    </w:p>
    <w:p w14:paraId="6C60FFDC" w14:textId="394C05D0" w:rsidR="00A209D6" w:rsidRDefault="00DA2C05" w:rsidP="00A209D6">
      <w:r>
        <w:t>We have discussed the addition of additional LTE CRS rate matching patterns, with the following observations and proposals:</w:t>
      </w:r>
    </w:p>
    <w:p w14:paraId="3ED74A50" w14:textId="77777777" w:rsidR="00DA2C05" w:rsidRDefault="00DA2C05" w:rsidP="00DA2C05">
      <w:r w:rsidRPr="00E4100C">
        <w:rPr>
          <w:b/>
        </w:rPr>
        <w:t>Observation 1:</w:t>
      </w:r>
      <w:r>
        <w:t xml:space="preserve"> LTE CRS rate matching patterns can only be provided in RRC_CONNECTED.</w:t>
      </w:r>
    </w:p>
    <w:p w14:paraId="644ABA8C" w14:textId="30BDAFD4" w:rsidR="00DA2C05" w:rsidRDefault="00DA2C05" w:rsidP="00DA2C05">
      <w:r w:rsidRPr="00DA2C05">
        <w:rPr>
          <w:b/>
        </w:rPr>
        <w:t>Proposal 1:</w:t>
      </w:r>
      <w:r>
        <w:t xml:space="preserve"> Introduce </w:t>
      </w:r>
      <w:r w:rsidRPr="004E03F6">
        <w:rPr>
          <w:b/>
        </w:rPr>
        <w:t>N</w:t>
      </w:r>
      <w:r>
        <w:t xml:space="preserve"> additional LTE CRS rate matching patterns in extensions to </w:t>
      </w:r>
      <w:r w:rsidRPr="00283513">
        <w:rPr>
          <w:i/>
        </w:rPr>
        <w:t>ServingCellConfig</w:t>
      </w:r>
      <w:r>
        <w:t xml:space="preserve"> and </w:t>
      </w:r>
      <w:r w:rsidRPr="00283513">
        <w:rPr>
          <w:i/>
        </w:rPr>
        <w:t>ServingCellConfigCommon</w:t>
      </w:r>
      <w:r w:rsidR="00283513">
        <w:t>.</w:t>
      </w:r>
    </w:p>
    <w:p w14:paraId="21E384BF" w14:textId="5B830ACC" w:rsidR="00DA2C05" w:rsidRDefault="00DA2C05" w:rsidP="00DA2C05">
      <w:r w:rsidRPr="00DA2C05">
        <w:rPr>
          <w:b/>
        </w:rPr>
        <w:t>Proposal 2:</w:t>
      </w:r>
      <w:r>
        <w:t xml:space="preserve"> Use </w:t>
      </w:r>
      <w:r w:rsidRPr="004E03F6">
        <w:rPr>
          <w:b/>
        </w:rPr>
        <w:t>N</w:t>
      </w:r>
      <w:r>
        <w:t>=</w:t>
      </w:r>
      <w:r w:rsidR="00D44F9F">
        <w:t>8</w:t>
      </w:r>
      <w:r w:rsidR="004E03F6">
        <w:t xml:space="preserve"> as placeholder</w:t>
      </w:r>
      <w:r>
        <w:t xml:space="preserve"> in RAN2 CR until RAN1 provides the correct value</w:t>
      </w:r>
      <w:r w:rsidR="004E03F6">
        <w:t xml:space="preserve"> for </w:t>
      </w:r>
      <w:r w:rsidR="004E03F6" w:rsidRPr="003E49EC">
        <w:rPr>
          <w:b/>
        </w:rPr>
        <w:t>N</w:t>
      </w:r>
      <w:r>
        <w:t>.</w:t>
      </w:r>
    </w:p>
    <w:p w14:paraId="30685ED7" w14:textId="77777777" w:rsidR="00DA2C05" w:rsidRDefault="00DA2C05" w:rsidP="00DA2C05">
      <w:r w:rsidRPr="00DA2C05">
        <w:rPr>
          <w:b/>
        </w:rPr>
        <w:t>Proposal 3:</w:t>
      </w:r>
      <w:r>
        <w:t xml:space="preserve"> Introduce a per-UE capability for supporting multiple LTE CRS rate matching patterns via RRC configuration.</w:t>
      </w:r>
    </w:p>
    <w:p w14:paraId="45626688" w14:textId="179AB131" w:rsidR="00197420" w:rsidRDefault="00197420" w:rsidP="00197420">
      <w:r>
        <w:t>The CRs corresponding to these proposals can be found in</w:t>
      </w:r>
      <w:r w:rsidRPr="00197420">
        <w:t xml:space="preserve"> </w:t>
      </w:r>
      <w:hyperlink r:id="rId18" w:history="1">
        <w:r w:rsidR="002E7848">
          <w:rPr>
            <w:rStyle w:val="Hyperlink"/>
          </w:rPr>
          <w:t>R2-1909015</w:t>
        </w:r>
      </w:hyperlink>
      <w:r w:rsidR="002E7848" w:rsidRPr="002E7848">
        <w:t xml:space="preserve"> </w:t>
      </w:r>
      <w:r w:rsidR="002E7848">
        <w:t xml:space="preserve">(38.306) and </w:t>
      </w:r>
      <w:hyperlink r:id="rId19" w:history="1">
        <w:r w:rsidR="002E7848" w:rsidRPr="002E7848">
          <w:rPr>
            <w:rStyle w:val="Hyperlink"/>
          </w:rPr>
          <w:t>R2-1909016</w:t>
        </w:r>
      </w:hyperlink>
      <w:r w:rsidR="002E7848">
        <w:t xml:space="preserve"> (38.331).</w:t>
      </w:r>
    </w:p>
    <w:p w14:paraId="17A56318" w14:textId="12A68B76" w:rsidR="00DA2C05" w:rsidRPr="006E13D1" w:rsidRDefault="00DA2C05" w:rsidP="00A209D6"/>
    <w:p w14:paraId="60449C3F" w14:textId="77777777" w:rsidR="00A209D6" w:rsidRPr="006E13D1" w:rsidRDefault="00A209D6" w:rsidP="00A209D6"/>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6FEC0A" w14:textId="77777777" w:rsidR="0077018C" w:rsidRDefault="0077018C">
      <w:r>
        <w:separator/>
      </w:r>
    </w:p>
  </w:endnote>
  <w:endnote w:type="continuationSeparator" w:id="0">
    <w:p w14:paraId="589629E5" w14:textId="77777777" w:rsidR="0077018C" w:rsidRDefault="0077018C">
      <w:r>
        <w:continuationSeparator/>
      </w:r>
    </w:p>
  </w:endnote>
  <w:endnote w:type="continuationNotice" w:id="1">
    <w:p w14:paraId="7D282FCA" w14:textId="77777777" w:rsidR="0077018C" w:rsidRDefault="007701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Light">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58FFA6" w14:textId="77777777" w:rsidR="0077018C" w:rsidRDefault="0077018C">
      <w:r>
        <w:separator/>
      </w:r>
    </w:p>
  </w:footnote>
  <w:footnote w:type="continuationSeparator" w:id="0">
    <w:p w14:paraId="319E6127" w14:textId="77777777" w:rsidR="0077018C" w:rsidRDefault="0077018C">
      <w:r>
        <w:continuationSeparator/>
      </w:r>
    </w:p>
  </w:footnote>
  <w:footnote w:type="continuationNotice" w:id="1">
    <w:p w14:paraId="75FC36C5" w14:textId="77777777" w:rsidR="0077018C" w:rsidRDefault="0077018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E27C7D"/>
    <w:multiLevelType w:val="hybridMultilevel"/>
    <w:tmpl w:val="4006A78C"/>
    <w:lvl w:ilvl="0" w:tplc="3EA6F4EC">
      <w:start w:val="1"/>
      <w:numFmt w:val="bullet"/>
      <w:lvlText w:val="—"/>
      <w:lvlJc w:val="left"/>
      <w:pPr>
        <w:tabs>
          <w:tab w:val="num" w:pos="720"/>
        </w:tabs>
        <w:ind w:left="720" w:hanging="360"/>
      </w:pPr>
      <w:rPr>
        <w:rFonts w:ascii="Ericsson Hilda Light" w:hAnsi="Ericsson Hilda Light" w:hint="default"/>
      </w:rPr>
    </w:lvl>
    <w:lvl w:ilvl="1" w:tplc="A8E4CC18">
      <w:start w:val="1"/>
      <w:numFmt w:val="bullet"/>
      <w:lvlText w:val="—"/>
      <w:lvlJc w:val="left"/>
      <w:pPr>
        <w:tabs>
          <w:tab w:val="num" w:pos="1440"/>
        </w:tabs>
        <w:ind w:left="1440" w:hanging="360"/>
      </w:pPr>
      <w:rPr>
        <w:rFonts w:ascii="Ericsson Hilda Light" w:hAnsi="Ericsson Hilda Light" w:hint="default"/>
      </w:rPr>
    </w:lvl>
    <w:lvl w:ilvl="2" w:tplc="2E3E5FDE">
      <w:start w:val="142"/>
      <w:numFmt w:val="bullet"/>
      <w:lvlText w:val="—"/>
      <w:lvlJc w:val="left"/>
      <w:pPr>
        <w:tabs>
          <w:tab w:val="num" w:pos="2160"/>
        </w:tabs>
        <w:ind w:left="2160" w:hanging="360"/>
      </w:pPr>
      <w:rPr>
        <w:rFonts w:ascii="Ericsson Hilda Light" w:hAnsi="Ericsson Hilda Light" w:hint="default"/>
      </w:rPr>
    </w:lvl>
    <w:lvl w:ilvl="3" w:tplc="21D8B994" w:tentative="1">
      <w:start w:val="1"/>
      <w:numFmt w:val="bullet"/>
      <w:lvlText w:val="—"/>
      <w:lvlJc w:val="left"/>
      <w:pPr>
        <w:tabs>
          <w:tab w:val="num" w:pos="2880"/>
        </w:tabs>
        <w:ind w:left="2880" w:hanging="360"/>
      </w:pPr>
      <w:rPr>
        <w:rFonts w:ascii="Ericsson Hilda Light" w:hAnsi="Ericsson Hilda Light" w:hint="default"/>
      </w:rPr>
    </w:lvl>
    <w:lvl w:ilvl="4" w:tplc="0B225E5C" w:tentative="1">
      <w:start w:val="1"/>
      <w:numFmt w:val="bullet"/>
      <w:lvlText w:val="—"/>
      <w:lvlJc w:val="left"/>
      <w:pPr>
        <w:tabs>
          <w:tab w:val="num" w:pos="3600"/>
        </w:tabs>
        <w:ind w:left="3600" w:hanging="360"/>
      </w:pPr>
      <w:rPr>
        <w:rFonts w:ascii="Ericsson Hilda Light" w:hAnsi="Ericsson Hilda Light" w:hint="default"/>
      </w:rPr>
    </w:lvl>
    <w:lvl w:ilvl="5" w:tplc="480C534C" w:tentative="1">
      <w:start w:val="1"/>
      <w:numFmt w:val="bullet"/>
      <w:lvlText w:val="—"/>
      <w:lvlJc w:val="left"/>
      <w:pPr>
        <w:tabs>
          <w:tab w:val="num" w:pos="4320"/>
        </w:tabs>
        <w:ind w:left="4320" w:hanging="360"/>
      </w:pPr>
      <w:rPr>
        <w:rFonts w:ascii="Ericsson Hilda Light" w:hAnsi="Ericsson Hilda Light" w:hint="default"/>
      </w:rPr>
    </w:lvl>
    <w:lvl w:ilvl="6" w:tplc="05700C56" w:tentative="1">
      <w:start w:val="1"/>
      <w:numFmt w:val="bullet"/>
      <w:lvlText w:val="—"/>
      <w:lvlJc w:val="left"/>
      <w:pPr>
        <w:tabs>
          <w:tab w:val="num" w:pos="5040"/>
        </w:tabs>
        <w:ind w:left="5040" w:hanging="360"/>
      </w:pPr>
      <w:rPr>
        <w:rFonts w:ascii="Ericsson Hilda Light" w:hAnsi="Ericsson Hilda Light" w:hint="default"/>
      </w:rPr>
    </w:lvl>
    <w:lvl w:ilvl="7" w:tplc="B254C56A" w:tentative="1">
      <w:start w:val="1"/>
      <w:numFmt w:val="bullet"/>
      <w:lvlText w:val="—"/>
      <w:lvlJc w:val="left"/>
      <w:pPr>
        <w:tabs>
          <w:tab w:val="num" w:pos="5760"/>
        </w:tabs>
        <w:ind w:left="5760" w:hanging="360"/>
      </w:pPr>
      <w:rPr>
        <w:rFonts w:ascii="Ericsson Hilda Light" w:hAnsi="Ericsson Hilda Light" w:hint="default"/>
      </w:rPr>
    </w:lvl>
    <w:lvl w:ilvl="8" w:tplc="2AEC0262" w:tentative="1">
      <w:start w:val="1"/>
      <w:numFmt w:val="bullet"/>
      <w:lvlText w:val="—"/>
      <w:lvlJc w:val="left"/>
      <w:pPr>
        <w:tabs>
          <w:tab w:val="num" w:pos="6480"/>
        </w:tabs>
        <w:ind w:left="6480" w:hanging="360"/>
      </w:pPr>
      <w:rPr>
        <w:rFonts w:ascii="Ericsson Hilda Light" w:hAnsi="Ericsson Hilda Light"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7C911938"/>
    <w:multiLevelType w:val="hybridMultilevel"/>
    <w:tmpl w:val="43A0A580"/>
    <w:lvl w:ilvl="0" w:tplc="ACE42CE4">
      <w:start w:val="1"/>
      <w:numFmt w:val="bullet"/>
      <w:lvlText w:val="—"/>
      <w:lvlJc w:val="left"/>
      <w:pPr>
        <w:tabs>
          <w:tab w:val="num" w:pos="720"/>
        </w:tabs>
        <w:ind w:left="720" w:hanging="360"/>
      </w:pPr>
      <w:rPr>
        <w:rFonts w:ascii="Ericsson Hilda Light" w:hAnsi="Ericsson Hilda Light" w:hint="default"/>
      </w:rPr>
    </w:lvl>
    <w:lvl w:ilvl="1" w:tplc="AB0EA174">
      <w:start w:val="142"/>
      <w:numFmt w:val="bullet"/>
      <w:lvlText w:val="—"/>
      <w:lvlJc w:val="left"/>
      <w:pPr>
        <w:tabs>
          <w:tab w:val="num" w:pos="1440"/>
        </w:tabs>
        <w:ind w:left="1440" w:hanging="360"/>
      </w:pPr>
      <w:rPr>
        <w:rFonts w:ascii="Ericsson Hilda Light" w:hAnsi="Ericsson Hilda Light" w:hint="default"/>
      </w:rPr>
    </w:lvl>
    <w:lvl w:ilvl="2" w:tplc="627233C0">
      <w:start w:val="142"/>
      <w:numFmt w:val="bullet"/>
      <w:lvlText w:val="—"/>
      <w:lvlJc w:val="left"/>
      <w:pPr>
        <w:tabs>
          <w:tab w:val="num" w:pos="2160"/>
        </w:tabs>
        <w:ind w:left="2160" w:hanging="360"/>
      </w:pPr>
      <w:rPr>
        <w:rFonts w:ascii="Ericsson Hilda Light" w:hAnsi="Ericsson Hilda Light" w:hint="default"/>
      </w:rPr>
    </w:lvl>
    <w:lvl w:ilvl="3" w:tplc="C18A4AEC" w:tentative="1">
      <w:start w:val="1"/>
      <w:numFmt w:val="bullet"/>
      <w:lvlText w:val="—"/>
      <w:lvlJc w:val="left"/>
      <w:pPr>
        <w:tabs>
          <w:tab w:val="num" w:pos="2880"/>
        </w:tabs>
        <w:ind w:left="2880" w:hanging="360"/>
      </w:pPr>
      <w:rPr>
        <w:rFonts w:ascii="Ericsson Hilda Light" w:hAnsi="Ericsson Hilda Light" w:hint="default"/>
      </w:rPr>
    </w:lvl>
    <w:lvl w:ilvl="4" w:tplc="A178E1F8" w:tentative="1">
      <w:start w:val="1"/>
      <w:numFmt w:val="bullet"/>
      <w:lvlText w:val="—"/>
      <w:lvlJc w:val="left"/>
      <w:pPr>
        <w:tabs>
          <w:tab w:val="num" w:pos="3600"/>
        </w:tabs>
        <w:ind w:left="3600" w:hanging="360"/>
      </w:pPr>
      <w:rPr>
        <w:rFonts w:ascii="Ericsson Hilda Light" w:hAnsi="Ericsson Hilda Light" w:hint="default"/>
      </w:rPr>
    </w:lvl>
    <w:lvl w:ilvl="5" w:tplc="923A22E0" w:tentative="1">
      <w:start w:val="1"/>
      <w:numFmt w:val="bullet"/>
      <w:lvlText w:val="—"/>
      <w:lvlJc w:val="left"/>
      <w:pPr>
        <w:tabs>
          <w:tab w:val="num" w:pos="4320"/>
        </w:tabs>
        <w:ind w:left="4320" w:hanging="360"/>
      </w:pPr>
      <w:rPr>
        <w:rFonts w:ascii="Ericsson Hilda Light" w:hAnsi="Ericsson Hilda Light" w:hint="default"/>
      </w:rPr>
    </w:lvl>
    <w:lvl w:ilvl="6" w:tplc="4E5EE136" w:tentative="1">
      <w:start w:val="1"/>
      <w:numFmt w:val="bullet"/>
      <w:lvlText w:val="—"/>
      <w:lvlJc w:val="left"/>
      <w:pPr>
        <w:tabs>
          <w:tab w:val="num" w:pos="5040"/>
        </w:tabs>
        <w:ind w:left="5040" w:hanging="360"/>
      </w:pPr>
      <w:rPr>
        <w:rFonts w:ascii="Ericsson Hilda Light" w:hAnsi="Ericsson Hilda Light" w:hint="default"/>
      </w:rPr>
    </w:lvl>
    <w:lvl w:ilvl="7" w:tplc="6ACA694C" w:tentative="1">
      <w:start w:val="1"/>
      <w:numFmt w:val="bullet"/>
      <w:lvlText w:val="—"/>
      <w:lvlJc w:val="left"/>
      <w:pPr>
        <w:tabs>
          <w:tab w:val="num" w:pos="5760"/>
        </w:tabs>
        <w:ind w:left="5760" w:hanging="360"/>
      </w:pPr>
      <w:rPr>
        <w:rFonts w:ascii="Ericsson Hilda Light" w:hAnsi="Ericsson Hilda Light" w:hint="default"/>
      </w:rPr>
    </w:lvl>
    <w:lvl w:ilvl="8" w:tplc="0B483180" w:tentative="1">
      <w:start w:val="1"/>
      <w:numFmt w:val="bullet"/>
      <w:lvlText w:val="—"/>
      <w:lvlJc w:val="left"/>
      <w:pPr>
        <w:tabs>
          <w:tab w:val="num" w:pos="6480"/>
        </w:tabs>
        <w:ind w:left="6480" w:hanging="360"/>
      </w:pPr>
      <w:rPr>
        <w:rFonts w:ascii="Ericsson Hilda Light" w:hAnsi="Ericsson Hilda Light"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73C9C"/>
    <w:rsid w:val="00074025"/>
    <w:rsid w:val="00080512"/>
    <w:rsid w:val="00090468"/>
    <w:rsid w:val="00094568"/>
    <w:rsid w:val="000B7BCF"/>
    <w:rsid w:val="000C522B"/>
    <w:rsid w:val="000D58AB"/>
    <w:rsid w:val="00112F1A"/>
    <w:rsid w:val="00145075"/>
    <w:rsid w:val="001741A0"/>
    <w:rsid w:val="00175FA0"/>
    <w:rsid w:val="00194CD0"/>
    <w:rsid w:val="00197420"/>
    <w:rsid w:val="001B49C9"/>
    <w:rsid w:val="001C23F4"/>
    <w:rsid w:val="001C4F79"/>
    <w:rsid w:val="001F168B"/>
    <w:rsid w:val="001F7831"/>
    <w:rsid w:val="00204045"/>
    <w:rsid w:val="0020712B"/>
    <w:rsid w:val="0022606D"/>
    <w:rsid w:val="00231728"/>
    <w:rsid w:val="00250404"/>
    <w:rsid w:val="002610D8"/>
    <w:rsid w:val="002747EC"/>
    <w:rsid w:val="00283513"/>
    <w:rsid w:val="002855BF"/>
    <w:rsid w:val="002E7848"/>
    <w:rsid w:val="002F0D22"/>
    <w:rsid w:val="003172DC"/>
    <w:rsid w:val="00325AE3"/>
    <w:rsid w:val="00326069"/>
    <w:rsid w:val="0035462D"/>
    <w:rsid w:val="00364B41"/>
    <w:rsid w:val="00383096"/>
    <w:rsid w:val="003A41EF"/>
    <w:rsid w:val="003B40AD"/>
    <w:rsid w:val="003C4E37"/>
    <w:rsid w:val="003E16BE"/>
    <w:rsid w:val="003E49EC"/>
    <w:rsid w:val="003F4E28"/>
    <w:rsid w:val="004006E8"/>
    <w:rsid w:val="00401855"/>
    <w:rsid w:val="0042420D"/>
    <w:rsid w:val="00465587"/>
    <w:rsid w:val="00477455"/>
    <w:rsid w:val="004A1F7B"/>
    <w:rsid w:val="004C44D2"/>
    <w:rsid w:val="004D3578"/>
    <w:rsid w:val="004D380D"/>
    <w:rsid w:val="004E03F6"/>
    <w:rsid w:val="004E213A"/>
    <w:rsid w:val="00503171"/>
    <w:rsid w:val="00506C28"/>
    <w:rsid w:val="00534DA0"/>
    <w:rsid w:val="00543E6C"/>
    <w:rsid w:val="00565087"/>
    <w:rsid w:val="0056573F"/>
    <w:rsid w:val="00611566"/>
    <w:rsid w:val="00646D99"/>
    <w:rsid w:val="00656910"/>
    <w:rsid w:val="00676BB3"/>
    <w:rsid w:val="006C2F4A"/>
    <w:rsid w:val="006C66D8"/>
    <w:rsid w:val="006D1E24"/>
    <w:rsid w:val="006E1417"/>
    <w:rsid w:val="006F6A2C"/>
    <w:rsid w:val="007069DC"/>
    <w:rsid w:val="00710201"/>
    <w:rsid w:val="0072073A"/>
    <w:rsid w:val="007342B5"/>
    <w:rsid w:val="00734A5B"/>
    <w:rsid w:val="007440E4"/>
    <w:rsid w:val="00744E76"/>
    <w:rsid w:val="00757D40"/>
    <w:rsid w:val="0077018C"/>
    <w:rsid w:val="00781F0F"/>
    <w:rsid w:val="0078727C"/>
    <w:rsid w:val="0079049D"/>
    <w:rsid w:val="00793DC5"/>
    <w:rsid w:val="007B18D8"/>
    <w:rsid w:val="007C095F"/>
    <w:rsid w:val="007C2DD0"/>
    <w:rsid w:val="007F2E08"/>
    <w:rsid w:val="008028A4"/>
    <w:rsid w:val="00813245"/>
    <w:rsid w:val="0086354A"/>
    <w:rsid w:val="008768CA"/>
    <w:rsid w:val="00877EF9"/>
    <w:rsid w:val="00880559"/>
    <w:rsid w:val="008B5306"/>
    <w:rsid w:val="008C3057"/>
    <w:rsid w:val="008D2AE2"/>
    <w:rsid w:val="008D2E4D"/>
    <w:rsid w:val="008F396F"/>
    <w:rsid w:val="0090271F"/>
    <w:rsid w:val="00902DB9"/>
    <w:rsid w:val="0090466A"/>
    <w:rsid w:val="00923655"/>
    <w:rsid w:val="00936071"/>
    <w:rsid w:val="00940212"/>
    <w:rsid w:val="00942EC2"/>
    <w:rsid w:val="00951CA8"/>
    <w:rsid w:val="00961B32"/>
    <w:rsid w:val="00962509"/>
    <w:rsid w:val="00970DB3"/>
    <w:rsid w:val="00974BB0"/>
    <w:rsid w:val="00975BCD"/>
    <w:rsid w:val="009A0AF3"/>
    <w:rsid w:val="009B07CD"/>
    <w:rsid w:val="009C19E9"/>
    <w:rsid w:val="009D74A6"/>
    <w:rsid w:val="00A10F02"/>
    <w:rsid w:val="00A204CA"/>
    <w:rsid w:val="00A209D6"/>
    <w:rsid w:val="00A53724"/>
    <w:rsid w:val="00A54B2B"/>
    <w:rsid w:val="00A82346"/>
    <w:rsid w:val="00A87EB9"/>
    <w:rsid w:val="00A9671C"/>
    <w:rsid w:val="00AA1553"/>
    <w:rsid w:val="00B05380"/>
    <w:rsid w:val="00B05962"/>
    <w:rsid w:val="00B15449"/>
    <w:rsid w:val="00B16C2F"/>
    <w:rsid w:val="00B27303"/>
    <w:rsid w:val="00B47FD1"/>
    <w:rsid w:val="00B516BB"/>
    <w:rsid w:val="00B84DB2"/>
    <w:rsid w:val="00BC3555"/>
    <w:rsid w:val="00C12B51"/>
    <w:rsid w:val="00C24650"/>
    <w:rsid w:val="00C25465"/>
    <w:rsid w:val="00C33079"/>
    <w:rsid w:val="00C83A13"/>
    <w:rsid w:val="00C9068C"/>
    <w:rsid w:val="00C92967"/>
    <w:rsid w:val="00CA1E50"/>
    <w:rsid w:val="00CA3D0C"/>
    <w:rsid w:val="00CA654B"/>
    <w:rsid w:val="00CB72B8"/>
    <w:rsid w:val="00CD4C7B"/>
    <w:rsid w:val="00D33BE3"/>
    <w:rsid w:val="00D3792D"/>
    <w:rsid w:val="00D44F9F"/>
    <w:rsid w:val="00D55E47"/>
    <w:rsid w:val="00D62E19"/>
    <w:rsid w:val="00D67CD1"/>
    <w:rsid w:val="00D738D6"/>
    <w:rsid w:val="00D80795"/>
    <w:rsid w:val="00D854BE"/>
    <w:rsid w:val="00D87E00"/>
    <w:rsid w:val="00D9134D"/>
    <w:rsid w:val="00D96D11"/>
    <w:rsid w:val="00DA2C05"/>
    <w:rsid w:val="00DA7A03"/>
    <w:rsid w:val="00DB0DB8"/>
    <w:rsid w:val="00DB1818"/>
    <w:rsid w:val="00DC309B"/>
    <w:rsid w:val="00DC4DA2"/>
    <w:rsid w:val="00DC5261"/>
    <w:rsid w:val="00DE25D2"/>
    <w:rsid w:val="00E4100C"/>
    <w:rsid w:val="00E46C08"/>
    <w:rsid w:val="00E471CF"/>
    <w:rsid w:val="00E62835"/>
    <w:rsid w:val="00E77645"/>
    <w:rsid w:val="00E83697"/>
    <w:rsid w:val="00EA66C9"/>
    <w:rsid w:val="00EC4A25"/>
    <w:rsid w:val="00F025A2"/>
    <w:rsid w:val="00F036E9"/>
    <w:rsid w:val="00F07388"/>
    <w:rsid w:val="00F2026E"/>
    <w:rsid w:val="00F2210A"/>
    <w:rsid w:val="00F37743"/>
    <w:rsid w:val="00F40BC7"/>
    <w:rsid w:val="00F427A5"/>
    <w:rsid w:val="00F54A3D"/>
    <w:rsid w:val="00F54CB0"/>
    <w:rsid w:val="00F579CD"/>
    <w:rsid w:val="00F653B8"/>
    <w:rsid w:val="00F71B89"/>
    <w:rsid w:val="00F7353C"/>
    <w:rsid w:val="00F76F8F"/>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981662">
      <w:bodyDiv w:val="1"/>
      <w:marLeft w:val="0"/>
      <w:marRight w:val="0"/>
      <w:marTop w:val="0"/>
      <w:marBottom w:val="0"/>
      <w:divBdr>
        <w:top w:val="none" w:sz="0" w:space="0" w:color="auto"/>
        <w:left w:val="none" w:sz="0" w:space="0" w:color="auto"/>
        <w:bottom w:val="none" w:sz="0" w:space="0" w:color="auto"/>
        <w:right w:val="none" w:sz="0" w:space="0" w:color="auto"/>
      </w:divBdr>
      <w:divsChild>
        <w:div w:id="1087380510">
          <w:marLeft w:val="1123"/>
          <w:marRight w:val="0"/>
          <w:marTop w:val="60"/>
          <w:marBottom w:val="0"/>
          <w:divBdr>
            <w:top w:val="none" w:sz="0" w:space="0" w:color="auto"/>
            <w:left w:val="none" w:sz="0" w:space="0" w:color="auto"/>
            <w:bottom w:val="none" w:sz="0" w:space="0" w:color="auto"/>
            <w:right w:val="none" w:sz="0" w:space="0" w:color="auto"/>
          </w:divBdr>
        </w:div>
        <w:div w:id="922907950">
          <w:marLeft w:val="1699"/>
          <w:marRight w:val="0"/>
          <w:marTop w:val="60"/>
          <w:marBottom w:val="0"/>
          <w:divBdr>
            <w:top w:val="none" w:sz="0" w:space="0" w:color="auto"/>
            <w:left w:val="none" w:sz="0" w:space="0" w:color="auto"/>
            <w:bottom w:val="none" w:sz="0" w:space="0" w:color="auto"/>
            <w:right w:val="none" w:sz="0" w:space="0" w:color="auto"/>
          </w:divBdr>
        </w:div>
        <w:div w:id="984820902">
          <w:marLeft w:val="1699"/>
          <w:marRight w:val="0"/>
          <w:marTop w:val="60"/>
          <w:marBottom w:val="0"/>
          <w:divBdr>
            <w:top w:val="none" w:sz="0" w:space="0" w:color="auto"/>
            <w:left w:val="none" w:sz="0" w:space="0" w:color="auto"/>
            <w:bottom w:val="none" w:sz="0" w:space="0" w:color="auto"/>
            <w:right w:val="none" w:sz="0" w:space="0" w:color="auto"/>
          </w:divBdr>
        </w:div>
        <w:div w:id="1432777914">
          <w:marLeft w:val="1699"/>
          <w:marRight w:val="0"/>
          <w:marTop w:val="60"/>
          <w:marBottom w:val="0"/>
          <w:divBdr>
            <w:top w:val="none" w:sz="0" w:space="0" w:color="auto"/>
            <w:left w:val="none" w:sz="0" w:space="0" w:color="auto"/>
            <w:bottom w:val="none" w:sz="0" w:space="0" w:color="auto"/>
            <w:right w:val="none" w:sz="0" w:space="0" w:color="auto"/>
          </w:divBdr>
        </w:div>
        <w:div w:id="1501963800">
          <w:marLeft w:val="547"/>
          <w:marRight w:val="0"/>
          <w:marTop w:val="60"/>
          <w:marBottom w:val="0"/>
          <w:divBdr>
            <w:top w:val="none" w:sz="0" w:space="0" w:color="auto"/>
            <w:left w:val="none" w:sz="0" w:space="0" w:color="auto"/>
            <w:bottom w:val="none" w:sz="0" w:space="0" w:color="auto"/>
            <w:right w:val="none" w:sz="0" w:space="0" w:color="auto"/>
          </w:divBdr>
        </w:div>
        <w:div w:id="92168155">
          <w:marLeft w:val="1123"/>
          <w:marRight w:val="0"/>
          <w:marTop w:val="6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61006917">
      <w:bodyDiv w:val="1"/>
      <w:marLeft w:val="0"/>
      <w:marRight w:val="0"/>
      <w:marTop w:val="0"/>
      <w:marBottom w:val="0"/>
      <w:divBdr>
        <w:top w:val="none" w:sz="0" w:space="0" w:color="auto"/>
        <w:left w:val="none" w:sz="0" w:space="0" w:color="auto"/>
        <w:bottom w:val="none" w:sz="0" w:space="0" w:color="auto"/>
        <w:right w:val="none" w:sz="0" w:space="0" w:color="auto"/>
      </w:divBdr>
      <w:divsChild>
        <w:div w:id="892423513">
          <w:marLeft w:val="547"/>
          <w:marRight w:val="0"/>
          <w:marTop w:val="60"/>
          <w:marBottom w:val="0"/>
          <w:divBdr>
            <w:top w:val="none" w:sz="0" w:space="0" w:color="auto"/>
            <w:left w:val="none" w:sz="0" w:space="0" w:color="auto"/>
            <w:bottom w:val="none" w:sz="0" w:space="0" w:color="auto"/>
            <w:right w:val="none" w:sz="0" w:space="0" w:color="auto"/>
          </w:divBdr>
        </w:div>
        <w:div w:id="1850019013">
          <w:marLeft w:val="1123"/>
          <w:marRight w:val="0"/>
          <w:marTop w:val="60"/>
          <w:marBottom w:val="0"/>
          <w:divBdr>
            <w:top w:val="none" w:sz="0" w:space="0" w:color="auto"/>
            <w:left w:val="none" w:sz="0" w:space="0" w:color="auto"/>
            <w:bottom w:val="none" w:sz="0" w:space="0" w:color="auto"/>
            <w:right w:val="none" w:sz="0" w:space="0" w:color="auto"/>
          </w:divBdr>
        </w:div>
        <w:div w:id="273247860">
          <w:marLeft w:val="1123"/>
          <w:marRight w:val="0"/>
          <w:marTop w:val="60"/>
          <w:marBottom w:val="0"/>
          <w:divBdr>
            <w:top w:val="none" w:sz="0" w:space="0" w:color="auto"/>
            <w:left w:val="none" w:sz="0" w:space="0" w:color="auto"/>
            <w:bottom w:val="none" w:sz="0" w:space="0" w:color="auto"/>
            <w:right w:val="none" w:sz="0" w:space="0" w:color="auto"/>
          </w:divBdr>
        </w:div>
        <w:div w:id="1837840611">
          <w:marLeft w:val="1699"/>
          <w:marRight w:val="0"/>
          <w:marTop w:val="60"/>
          <w:marBottom w:val="0"/>
          <w:divBdr>
            <w:top w:val="none" w:sz="0" w:space="0" w:color="auto"/>
            <w:left w:val="none" w:sz="0" w:space="0" w:color="auto"/>
            <w:bottom w:val="none" w:sz="0" w:space="0" w:color="auto"/>
            <w:right w:val="none" w:sz="0" w:space="0" w:color="auto"/>
          </w:divBdr>
        </w:div>
        <w:div w:id="744957607">
          <w:marLeft w:val="1699"/>
          <w:marRight w:val="0"/>
          <w:marTop w:val="60"/>
          <w:marBottom w:val="0"/>
          <w:divBdr>
            <w:top w:val="none" w:sz="0" w:space="0" w:color="auto"/>
            <w:left w:val="none" w:sz="0" w:space="0" w:color="auto"/>
            <w:bottom w:val="none" w:sz="0" w:space="0" w:color="auto"/>
            <w:right w:val="none" w:sz="0" w:space="0" w:color="auto"/>
          </w:divBdr>
        </w:div>
        <w:div w:id="883832667">
          <w:marLeft w:val="1699"/>
          <w:marRight w:val="0"/>
          <w:marTop w:val="60"/>
          <w:marBottom w:val="0"/>
          <w:divBdr>
            <w:top w:val="none" w:sz="0" w:space="0" w:color="auto"/>
            <w:left w:val="none" w:sz="0" w:space="0" w:color="auto"/>
            <w:bottom w:val="none" w:sz="0" w:space="0" w:color="auto"/>
            <w:right w:val="none" w:sz="0" w:space="0" w:color="auto"/>
          </w:divBdr>
        </w:div>
        <w:div w:id="908922983">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04/Docs/R2-1816851.zip" TargetMode="External"/><Relationship Id="rId18" Type="http://schemas.openxmlformats.org/officeDocument/2006/relationships/hyperlink" Target="http://www.3gpp.org/ftp/tsg_ran/wg2_rl2/tsgr2_107/docs/R2-1909015.zip"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ftp/tsg_ran/TSG_RAN/TSGR_84/Docs/RP-191599.zip" TargetMode="External"/><Relationship Id="rId17" Type="http://schemas.openxmlformats.org/officeDocument/2006/relationships/hyperlink" Target="http://www.3gpp.org/ftp/tsg_ran/wg2_rl2/tsgr2_107/docs/R2-1909016.zip" TargetMode="External"/><Relationship Id="rId2" Type="http://schemas.openxmlformats.org/officeDocument/2006/relationships/customXml" Target="../customXml/item2.xml"/><Relationship Id="rId16" Type="http://schemas.openxmlformats.org/officeDocument/2006/relationships/hyperlink" Target="http://www.3gpp.org/ftp/tsg_ran/wg2_rl2/tsgr2_107/docs/R2-1909015.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3gpp.org/ftp/tsg_ran/TSG_RAN/TSGR_84/Docs/RP-191599.zip" TargetMode="External"/><Relationship Id="rId10" Type="http://schemas.openxmlformats.org/officeDocument/2006/relationships/footnotes" Target="footnotes.xml"/><Relationship Id="rId19" Type="http://schemas.openxmlformats.org/officeDocument/2006/relationships/hyperlink" Target="http://www.3gpp.org/ftp/tsg_ran/wg2_rl2/tsgr2_107/docs/R2-1909016.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2_RL2/TSGR2_104/Docs/R2-181904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5AIRPNAIUNRU-859666464-5335</_dlc_DocId>
    <_dlc_DocIdUrl xmlns="71c5aaf6-e6ce-465b-b873-5148d2a4c105">
      <Url>https://nokia.sharepoint.com/sites/c5g/e2earch/_layouts/15/DocIdRedir.aspx?ID=5AIRPNAIUNRU-859666464-5335</Url>
      <Description>5AIRPNAIUNRU-859666464-5335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24</TotalTime>
  <Pages>2</Pages>
  <Words>842</Words>
  <Characters>4804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5635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Henttonen, Tero (Nokia - FI/Espoo)</dc:creator>
  <cp:lastModifiedBy>Tero Henttonen</cp:lastModifiedBy>
  <cp:revision>12</cp:revision>
  <dcterms:created xsi:type="dcterms:W3CDTF">2019-08-08T12:07:00Z</dcterms:created>
  <dcterms:modified xsi:type="dcterms:W3CDTF">2019-08-15T14:25:00Z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dea5e633-5214-4a79-b3e7-e699b0cce10a</vt:lpwstr>
  </property>
</Properties>
</file>